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3E" w:rsidRPr="0019643E" w:rsidRDefault="0019643E" w:rsidP="0019643E">
      <w:pPr>
        <w:pStyle w:val="Bezproreda"/>
        <w:rPr>
          <w:rFonts w:hint="eastAsia"/>
          <w:b/>
        </w:rPr>
      </w:pPr>
      <w:bookmarkStart w:id="0" w:name="_Hlk81207196"/>
      <w:r w:rsidRPr="0019643E">
        <w:rPr>
          <w:b/>
          <w:noProof/>
          <w:lang w:eastAsia="hr-H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-555625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19643E">
        <w:rPr>
          <w:b/>
        </w:rPr>
        <w:t>REPUBLIKA HRVATSKA</w:t>
      </w:r>
    </w:p>
    <w:p w:rsidR="0019643E" w:rsidRPr="00D57EBE" w:rsidRDefault="0019643E" w:rsidP="0019643E">
      <w:pPr>
        <w:pStyle w:val="Bezproreda"/>
        <w:rPr>
          <w:rFonts w:ascii="Times New Roman" w:hAnsi="Times New Roman" w:cs="Times New Roman"/>
          <w:b/>
        </w:rPr>
      </w:pPr>
      <w:r w:rsidRPr="00D57EBE">
        <w:rPr>
          <w:rFonts w:ascii="Times New Roman" w:hAnsi="Times New Roman" w:cs="Times New Roman"/>
          <w:b/>
        </w:rPr>
        <w:t>OSJEČKO-BARANJSKA ŽUPANIJA</w:t>
      </w:r>
    </w:p>
    <w:p w:rsidR="0019643E" w:rsidRPr="00D57EBE" w:rsidRDefault="0019643E" w:rsidP="0019643E">
      <w:pPr>
        <w:pStyle w:val="Bezproreda"/>
        <w:rPr>
          <w:rFonts w:ascii="Times New Roman" w:hAnsi="Times New Roman" w:cs="Times New Roman"/>
          <w:b/>
        </w:rPr>
      </w:pPr>
      <w:r w:rsidRPr="00D57EBE">
        <w:rPr>
          <w:rFonts w:ascii="Times New Roman" w:hAnsi="Times New Roman" w:cs="Times New Roman"/>
          <w:b/>
        </w:rPr>
        <w:t>OPĆINA PODRAVSKA MOSLAVINA</w:t>
      </w:r>
    </w:p>
    <w:p w:rsidR="0019643E" w:rsidRPr="00D57EBE" w:rsidRDefault="0019643E" w:rsidP="0019643E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hr-HR"/>
        </w:rPr>
        <w:t xml:space="preserve">          </w:t>
      </w:r>
      <w:r w:rsidRPr="00D57EBE">
        <w:rPr>
          <w:rFonts w:ascii="Times New Roman" w:hAnsi="Times New Roman" w:cs="Times New Roman"/>
          <w:b/>
          <w:lang w:eastAsia="hr-HR"/>
        </w:rPr>
        <w:t xml:space="preserve">   OPĆINSKO VIJEĆE</w:t>
      </w:r>
    </w:p>
    <w:p w:rsidR="0019643E" w:rsidRPr="00992A35" w:rsidRDefault="0019643E" w:rsidP="0019643E">
      <w:pPr>
        <w:ind w:firstLine="708"/>
        <w:jc w:val="both"/>
        <w:rPr>
          <w:rFonts w:hint="eastAsia"/>
          <w:b/>
          <w:u w:val="single"/>
        </w:rPr>
      </w:pPr>
    </w:p>
    <w:p w:rsidR="0019643E" w:rsidRPr="00992A35" w:rsidRDefault="0019643E" w:rsidP="0019643E">
      <w:pPr>
        <w:rPr>
          <w:rFonts w:hint="eastAsia"/>
        </w:rPr>
      </w:pPr>
      <w:r w:rsidRPr="00992A35">
        <w:rPr>
          <w:lang w:val="sv-SE"/>
        </w:rPr>
        <w:t xml:space="preserve">KLASA: </w:t>
      </w:r>
      <w:r>
        <w:rPr>
          <w:lang w:val="sv-SE"/>
        </w:rPr>
        <w:t>400</w:t>
      </w:r>
      <w:r w:rsidRPr="00992A35">
        <w:rPr>
          <w:lang w:val="sv-SE"/>
        </w:rPr>
        <w:t>-0</w:t>
      </w:r>
      <w:r>
        <w:rPr>
          <w:lang w:val="sv-SE"/>
        </w:rPr>
        <w:t>4</w:t>
      </w:r>
      <w:r w:rsidRPr="00992A35">
        <w:rPr>
          <w:lang w:val="sv-SE"/>
        </w:rPr>
        <w:t>/</w:t>
      </w:r>
      <w:r>
        <w:rPr>
          <w:lang w:val="sv-SE"/>
        </w:rPr>
        <w:t>24</w:t>
      </w:r>
      <w:r w:rsidRPr="00992A35">
        <w:rPr>
          <w:lang w:val="sv-SE"/>
        </w:rPr>
        <w:t>-01/</w:t>
      </w:r>
      <w:r>
        <w:rPr>
          <w:lang w:val="sv-SE"/>
        </w:rPr>
        <w:t>5</w:t>
      </w:r>
    </w:p>
    <w:p w:rsidR="0019643E" w:rsidRPr="00992A35" w:rsidRDefault="0019643E" w:rsidP="0019643E">
      <w:pPr>
        <w:rPr>
          <w:rFonts w:hint="eastAsia"/>
        </w:rPr>
      </w:pPr>
      <w:r w:rsidRPr="00992A35">
        <w:rPr>
          <w:lang w:val="sv-SE"/>
        </w:rPr>
        <w:t>URBROJ: 215</w:t>
      </w:r>
      <w:r>
        <w:rPr>
          <w:lang w:val="sv-SE"/>
        </w:rPr>
        <w:t>8-</w:t>
      </w:r>
      <w:r w:rsidRPr="00992A35">
        <w:rPr>
          <w:lang w:val="sv-SE"/>
        </w:rPr>
        <w:t>3</w:t>
      </w:r>
      <w:r>
        <w:rPr>
          <w:lang w:val="sv-SE"/>
        </w:rPr>
        <w:t>1</w:t>
      </w:r>
      <w:r w:rsidRPr="00992A35">
        <w:rPr>
          <w:lang w:val="sv-SE"/>
        </w:rPr>
        <w:t>-01-</w:t>
      </w:r>
      <w:r>
        <w:rPr>
          <w:lang w:val="sv-SE"/>
        </w:rPr>
        <w:t>24</w:t>
      </w:r>
      <w:r w:rsidRPr="00992A35">
        <w:rPr>
          <w:lang w:val="sv-SE"/>
        </w:rPr>
        <w:t>-</w:t>
      </w:r>
      <w:r>
        <w:rPr>
          <w:lang w:val="sv-SE"/>
        </w:rPr>
        <w:t>1</w:t>
      </w:r>
    </w:p>
    <w:p w:rsidR="0019643E" w:rsidRDefault="0019643E" w:rsidP="0019643E">
      <w:pPr>
        <w:jc w:val="both"/>
        <w:textAlignment w:val="baseline"/>
        <w:rPr>
          <w:rFonts w:hint="eastAsia"/>
          <w:lang w:val="sv-SE"/>
        </w:rPr>
      </w:pPr>
      <w:r w:rsidRPr="00992A35">
        <w:rPr>
          <w:lang w:val="sv-SE"/>
        </w:rPr>
        <w:t xml:space="preserve">Podravska Moslavina, </w:t>
      </w:r>
      <w:r>
        <w:rPr>
          <w:lang w:val="sv-SE"/>
        </w:rPr>
        <w:t>8. kolovoza</w:t>
      </w:r>
      <w:r w:rsidRPr="00992A35">
        <w:rPr>
          <w:lang w:val="sv-SE"/>
        </w:rPr>
        <w:t xml:space="preserve"> 20</w:t>
      </w:r>
      <w:r>
        <w:rPr>
          <w:lang w:val="sv-SE"/>
        </w:rPr>
        <w:t>24</w:t>
      </w:r>
      <w:r w:rsidRPr="00992A35">
        <w:rPr>
          <w:lang w:val="sv-SE"/>
        </w:rPr>
        <w:t>. godine</w:t>
      </w:r>
    </w:p>
    <w:p w:rsidR="00200A8D" w:rsidRDefault="00200A8D" w:rsidP="00200A8D">
      <w:pPr>
        <w:pStyle w:val="Bezproreda"/>
        <w:rPr>
          <w:rFonts w:hint="eastAsia"/>
        </w:rPr>
      </w:pPr>
    </w:p>
    <w:p w:rsidR="001B73BA" w:rsidRPr="00237045" w:rsidRDefault="001B73BA" w:rsidP="00200A8D">
      <w:pPr>
        <w:pStyle w:val="Bezproreda"/>
        <w:rPr>
          <w:rFonts w:hint="eastAsia"/>
          <w:b/>
          <w:bCs/>
        </w:rPr>
      </w:pPr>
      <w:r w:rsidRPr="00237045">
        <w:tab/>
        <w:t xml:space="preserve">Na temelju članka </w:t>
      </w:r>
      <w:r w:rsidR="0027414A">
        <w:t xml:space="preserve">76., </w:t>
      </w:r>
      <w:r w:rsidR="00FD5553">
        <w:t>88</w:t>
      </w:r>
      <w:r w:rsidRPr="00237045">
        <w:t>.</w:t>
      </w:r>
      <w:r w:rsidR="0027414A">
        <w:t xml:space="preserve"> i 163.</w:t>
      </w:r>
      <w:r w:rsidRPr="00237045">
        <w:t xml:space="preserve"> Zakona o proračunu („Narodne novine“, broj </w:t>
      </w:r>
      <w:r w:rsidR="00F06167">
        <w:t>144/21.)</w:t>
      </w:r>
      <w:r w:rsidRPr="00237045">
        <w:t xml:space="preserve"> i članka 2</w:t>
      </w:r>
      <w:r w:rsidR="00CD4B95">
        <w:t>7</w:t>
      </w:r>
      <w:r w:rsidRPr="00237045">
        <w:t>. Statuta Općine Podravska Moslavina (</w:t>
      </w:r>
      <w:r w:rsidR="00F336B1">
        <w:t>„</w:t>
      </w:r>
      <w:r w:rsidRPr="00237045">
        <w:t>Službeni glasnik Općine Podravska Moslavina</w:t>
      </w:r>
      <w:r w:rsidR="00F336B1">
        <w:t>“</w:t>
      </w:r>
      <w:r w:rsidRPr="00237045">
        <w:t xml:space="preserve">, broj </w:t>
      </w:r>
      <w:r>
        <w:t>3/21</w:t>
      </w:r>
      <w:r w:rsidR="00CD4B95">
        <w:t>. i 18/21.</w:t>
      </w:r>
      <w:r w:rsidRPr="00237045">
        <w:t xml:space="preserve">), Općinsko vijeće Općine Podravska Moslavina na svojoj </w:t>
      </w:r>
      <w:r w:rsidR="0019643E">
        <w:t>24.</w:t>
      </w:r>
      <w:r w:rsidRPr="00237045">
        <w:t xml:space="preserve"> sjednici održanoj dana </w:t>
      </w:r>
      <w:r w:rsidR="0019643E">
        <w:t xml:space="preserve">8. kolovoza 2024. g. </w:t>
      </w:r>
      <w:r w:rsidRPr="00237045">
        <w:t>donosi</w:t>
      </w:r>
    </w:p>
    <w:p w:rsidR="001B73BA" w:rsidRPr="00237045" w:rsidRDefault="001B73BA" w:rsidP="001B73BA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p w:rsidR="001B73BA" w:rsidRPr="00237045" w:rsidRDefault="0061613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 O PRIHVAĆANJU POLUGODIŠNJEG</w:t>
      </w:r>
      <w:r w:rsidR="0027414A">
        <w:rPr>
          <w:rFonts w:ascii="Times New Roman" w:hAnsi="Times New Roman" w:cs="Times New Roman"/>
          <w:b/>
        </w:rPr>
        <w:t xml:space="preserve"> IZVJEŠTAJ</w:t>
      </w:r>
      <w:r>
        <w:rPr>
          <w:rFonts w:ascii="Times New Roman" w:hAnsi="Times New Roman" w:cs="Times New Roman"/>
          <w:b/>
        </w:rPr>
        <w:t>A</w:t>
      </w:r>
    </w:p>
    <w:p w:rsidR="001B73BA" w:rsidRPr="00237045" w:rsidRDefault="001B73B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81204404"/>
      <w:r w:rsidRPr="00237045">
        <w:rPr>
          <w:rFonts w:ascii="Times New Roman" w:hAnsi="Times New Roman" w:cs="Times New Roman"/>
          <w:b/>
        </w:rPr>
        <w:t>o izvršenju Proračuna Općine Po</w:t>
      </w:r>
      <w:r w:rsidR="0027414A">
        <w:rPr>
          <w:rFonts w:ascii="Times New Roman" w:hAnsi="Times New Roman" w:cs="Times New Roman"/>
          <w:b/>
        </w:rPr>
        <w:t xml:space="preserve">dravska Moslavina za razdoblje </w:t>
      </w:r>
      <w:r w:rsidRPr="00237045">
        <w:rPr>
          <w:rFonts w:ascii="Times New Roman" w:hAnsi="Times New Roman" w:cs="Times New Roman"/>
          <w:b/>
        </w:rPr>
        <w:t xml:space="preserve">1.1. </w:t>
      </w:r>
      <w:r w:rsidR="0027414A">
        <w:rPr>
          <w:rFonts w:ascii="Times New Roman" w:hAnsi="Times New Roman" w:cs="Times New Roman"/>
          <w:b/>
        </w:rPr>
        <w:t>do 30.</w:t>
      </w:r>
      <w:r w:rsidRPr="00237045">
        <w:rPr>
          <w:rFonts w:ascii="Times New Roman" w:hAnsi="Times New Roman" w:cs="Times New Roman"/>
          <w:b/>
        </w:rPr>
        <w:t>6.20</w:t>
      </w:r>
      <w:r>
        <w:rPr>
          <w:rFonts w:ascii="Times New Roman" w:hAnsi="Times New Roman" w:cs="Times New Roman"/>
          <w:b/>
        </w:rPr>
        <w:t>2</w:t>
      </w:r>
      <w:r w:rsidR="009A442C">
        <w:rPr>
          <w:rFonts w:ascii="Times New Roman" w:hAnsi="Times New Roman" w:cs="Times New Roman"/>
          <w:b/>
        </w:rPr>
        <w:t>4</w:t>
      </w:r>
      <w:r w:rsidRPr="00237045">
        <w:rPr>
          <w:rFonts w:ascii="Times New Roman" w:hAnsi="Times New Roman" w:cs="Times New Roman"/>
          <w:b/>
        </w:rPr>
        <w:t>. g.</w:t>
      </w:r>
    </w:p>
    <w:p w:rsidR="001B73BA" w:rsidRPr="00237045" w:rsidRDefault="001B73BA" w:rsidP="001B73BA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:rsidR="001B73BA" w:rsidRPr="00237045" w:rsidRDefault="001B73BA" w:rsidP="001B73BA">
      <w:pPr>
        <w:pStyle w:val="Tijeloteksta"/>
        <w:spacing w:line="240" w:lineRule="auto"/>
        <w:jc w:val="center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  <w:b/>
          <w:bCs/>
        </w:rPr>
        <w:t>Članak 1.</w:t>
      </w:r>
    </w:p>
    <w:p w:rsidR="001B73BA" w:rsidRDefault="001B73BA" w:rsidP="001B73B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</w:rPr>
        <w:tab/>
      </w:r>
      <w:r w:rsidR="0027414A">
        <w:rPr>
          <w:rFonts w:ascii="Times New Roman" w:hAnsi="Times New Roman" w:cs="Times New Roman"/>
        </w:rPr>
        <w:t>Polugodišnji izvještaj o izvršenju Proračuna Općine Podravska Moslavina za razdoblje 1.1. do 30.6.2023. godine sadrži:</w:t>
      </w:r>
    </w:p>
    <w:p w:rsidR="0027414A" w:rsidRDefault="0027414A" w:rsidP="0027414A">
      <w:pPr>
        <w:pStyle w:val="Tijelotek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PRORAČUNA</w:t>
      </w:r>
    </w:p>
    <w:p w:rsidR="00C97673" w:rsidRDefault="00C97673" w:rsidP="00C97673">
      <w:pPr>
        <w:pStyle w:val="Tijelotek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</w:t>
      </w:r>
      <w:r w:rsidR="0019643E">
        <w:rPr>
          <w:rFonts w:ascii="Times New Roman" w:hAnsi="Times New Roman" w:cs="Times New Roman"/>
        </w:rPr>
        <w:t xml:space="preserve">k A. Računa prihoda i rashoda, </w:t>
      </w:r>
      <w:r>
        <w:rPr>
          <w:rFonts w:ascii="Times New Roman" w:hAnsi="Times New Roman" w:cs="Times New Roman"/>
        </w:rPr>
        <w:t>B. Računa financiranja</w:t>
      </w:r>
      <w:r w:rsidR="0019643E">
        <w:rPr>
          <w:rFonts w:ascii="Times New Roman" w:hAnsi="Times New Roman" w:cs="Times New Roman"/>
        </w:rPr>
        <w:t xml:space="preserve"> i C. Raspoloživa sredstva iz prethodnih godina</w:t>
      </w:r>
    </w:p>
    <w:tbl>
      <w:tblPr>
        <w:tblW w:w="10242" w:type="dxa"/>
        <w:tblInd w:w="-601" w:type="dxa"/>
        <w:tblLayout w:type="fixed"/>
        <w:tblLook w:val="04A0"/>
      </w:tblPr>
      <w:tblGrid>
        <w:gridCol w:w="1276"/>
        <w:gridCol w:w="4351"/>
        <w:gridCol w:w="2308"/>
        <w:gridCol w:w="2307"/>
      </w:tblGrid>
      <w:tr w:rsidR="0019643E" w:rsidTr="00200A8D">
        <w:trPr>
          <w:trHeight w:val="280"/>
        </w:trPr>
        <w:tc>
          <w:tcPr>
            <w:tcW w:w="102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A. RAČUN PRIHODA I RASHODA</w:t>
            </w:r>
          </w:p>
        </w:tc>
      </w:tr>
      <w:tr w:rsidR="0019643E" w:rsidTr="00200A8D">
        <w:trPr>
          <w:trHeight w:val="405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3.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>4.</w:t>
            </w:r>
          </w:p>
        </w:tc>
      </w:tr>
      <w:tr w:rsidR="0019643E" w:rsidTr="00200A8D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RAZRED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NAZIV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19643E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PLAN 2024. g.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OSTVARENJE</w:t>
            </w:r>
          </w:p>
          <w:p w:rsidR="0019643E" w:rsidRDefault="0019643E" w:rsidP="0019643E">
            <w:pPr>
              <w:ind w:right="15"/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>1.1.-30.6.2024. g.</w:t>
            </w:r>
          </w:p>
        </w:tc>
      </w:tr>
      <w:tr w:rsidR="0019643E" w:rsidTr="00200A8D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PRIHODI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3.968.600,00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365.065,17</w:t>
            </w:r>
          </w:p>
        </w:tc>
      </w:tr>
      <w:tr w:rsidR="0019643E" w:rsidTr="00200A8D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PRIHODI OD PRODAJE NEFINANCIJSKE IMOVINE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9643E" w:rsidRDefault="0019643E" w:rsidP="0019643E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40.500,00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643E" w:rsidRDefault="0019643E" w:rsidP="00200A8D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9643E" w:rsidRPr="00417010" w:rsidRDefault="0019643E" w:rsidP="0019643E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5.509,11</w:t>
            </w:r>
          </w:p>
        </w:tc>
      </w:tr>
      <w:tr w:rsidR="0019643E" w:rsidTr="00200A8D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PRIHODI (6+7)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4.009.100,00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370.574,28</w:t>
            </w:r>
          </w:p>
        </w:tc>
      </w:tr>
      <w:tr w:rsidR="0019643E" w:rsidTr="00200A8D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888.700,00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t>225.429,28</w:t>
            </w:r>
          </w:p>
        </w:tc>
      </w:tr>
      <w:tr w:rsidR="0019643E" w:rsidTr="00200A8D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 ZA NEFINANCIJSKU IMOVINU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3.120.400,00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t>111.230,58</w:t>
            </w:r>
          </w:p>
        </w:tc>
      </w:tr>
      <w:tr w:rsidR="0019643E" w:rsidTr="00200A8D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RASHODI (3+4)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4.009.100,00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t>336.659,86</w:t>
            </w:r>
          </w:p>
        </w:tc>
      </w:tr>
      <w:tr w:rsidR="0019643E" w:rsidTr="00200A8D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-97"/>
              <w:rPr>
                <w:rFonts w:hint="eastAsia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RAZLIKA PRIHODA I RASHODA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200A8D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33.914,42</w:t>
            </w:r>
          </w:p>
        </w:tc>
      </w:tr>
      <w:tr w:rsidR="0019643E" w:rsidTr="00200A8D">
        <w:trPr>
          <w:trHeight w:val="280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hideMark/>
          </w:tcPr>
          <w:p w:rsidR="0019643E" w:rsidRDefault="0019643E" w:rsidP="00200A8D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B. RAČUN FINANCIRANJA</w:t>
            </w:r>
          </w:p>
        </w:tc>
      </w:tr>
      <w:tr w:rsidR="0019643E" w:rsidTr="00200A8D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PRIMICI OD FINANCIJSKE IMOVINE I ZADUŽIVANJA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9643E" w:rsidRDefault="0019643E" w:rsidP="00200A8D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643E" w:rsidRDefault="0019643E" w:rsidP="00200A8D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9643E" w:rsidRDefault="0019643E" w:rsidP="00200A8D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19643E" w:rsidTr="00200A8D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IZDACI ZA FINANCIJSKU IMOVINU I OTPLATE ZAJMOVA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9643E" w:rsidRDefault="0019643E" w:rsidP="00200A8D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643E" w:rsidRDefault="0019643E" w:rsidP="00200A8D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9643E" w:rsidRDefault="0019643E" w:rsidP="00200A8D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19643E" w:rsidTr="00200A8D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RAZLIKA (8-5) NETO FINANCIRANJE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200A8D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19643E" w:rsidTr="00200A8D">
        <w:trPr>
          <w:trHeight w:val="263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hideMark/>
          </w:tcPr>
          <w:p w:rsidR="0019643E" w:rsidRDefault="0019643E" w:rsidP="00200A8D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shd w:val="clear" w:color="auto" w:fill="C0C0C0"/>
                <w:lang w:val="sv-SE"/>
              </w:rPr>
              <w:t>PRORAČUN I OSTVARENJE OPĆINE PODRAVSKA MOSLAVINA ZA 2023. g.</w:t>
            </w:r>
          </w:p>
        </w:tc>
      </w:tr>
      <w:tr w:rsidR="0019643E" w:rsidTr="00200A8D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PRIHODI I PRIMICI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4.009.100,00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</w:rPr>
              <w:t>370.574,28</w:t>
            </w:r>
          </w:p>
        </w:tc>
      </w:tr>
      <w:tr w:rsidR="0019643E" w:rsidTr="00200A8D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9643E" w:rsidRDefault="0019643E" w:rsidP="00200A8D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RASHODI I IZDACI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4.009.100,00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19643E" w:rsidRDefault="0019643E" w:rsidP="0019643E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</w:rPr>
              <w:t>336.659,86</w:t>
            </w:r>
          </w:p>
        </w:tc>
      </w:tr>
      <w:tr w:rsidR="0019643E" w:rsidTr="00200A8D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9643E" w:rsidRDefault="0019643E" w:rsidP="00200A8D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RAZLIKA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19643E" w:rsidRDefault="0019643E" w:rsidP="00200A8D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9643E" w:rsidRDefault="00200A8D" w:rsidP="00200A8D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33.914,42</w:t>
            </w:r>
          </w:p>
        </w:tc>
      </w:tr>
    </w:tbl>
    <w:p w:rsidR="006D1FDD" w:rsidRDefault="006D1FDD" w:rsidP="006D1FD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6D1FDD" w:rsidRDefault="006D1FDD" w:rsidP="006D1FDD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C97673" w:rsidRDefault="00C97673" w:rsidP="00C97673">
      <w:pPr>
        <w:pStyle w:val="Tijelotek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Račun prihoda i rashoda i račun financiranja</w:t>
      </w:r>
    </w:p>
    <w:p w:rsidR="00C97673" w:rsidRDefault="00C97673" w:rsidP="00C97673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Račun prihoda i rashoda</w:t>
      </w:r>
    </w:p>
    <w:p w:rsidR="00C97673" w:rsidRDefault="00C97673" w:rsidP="00C97673">
      <w:pPr>
        <w:pStyle w:val="Tijeloteksta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rashodi prema ekonomskoj klasifikaciji</w:t>
      </w:r>
    </w:p>
    <w:p w:rsidR="00200A8D" w:rsidRDefault="00200A8D" w:rsidP="00200A8D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tbl>
      <w:tblPr>
        <w:tblW w:w="8880" w:type="dxa"/>
        <w:tblInd w:w="766" w:type="dxa"/>
        <w:tblLook w:val="04A0"/>
      </w:tblPr>
      <w:tblGrid>
        <w:gridCol w:w="740"/>
        <w:gridCol w:w="2913"/>
        <w:gridCol w:w="740"/>
        <w:gridCol w:w="740"/>
        <w:gridCol w:w="740"/>
        <w:gridCol w:w="740"/>
        <w:gridCol w:w="740"/>
        <w:gridCol w:w="740"/>
        <w:gridCol w:w="787"/>
      </w:tblGrid>
      <w:tr w:rsidR="00200A8D" w:rsidRPr="003612D3" w:rsidTr="00200A8D">
        <w:trPr>
          <w:trHeight w:val="375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PRIHODI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009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 w:rsidR="00200A8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3612D3" w:rsidRDefault="00200A8D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</w:t>
            </w:r>
            <w:r w:rsidR="00900714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70</w:t>
            </w: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.5</w:t>
            </w:r>
            <w:r w:rsidR="00900714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74</w:t>
            </w: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 w:rsidR="00900714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24</w:t>
            </w:r>
          </w:p>
        </w:tc>
      </w:tr>
      <w:tr w:rsidR="00200A8D" w:rsidRPr="003612D3" w:rsidTr="00200A8D">
        <w:trPr>
          <w:trHeight w:val="375"/>
        </w:trPr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</w:t>
            </w:r>
            <w:r w:rsidR="009007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574</w:t>
            </w: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9007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9007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9007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 w:rsidR="009007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684</w:t>
            </w: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9007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277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900714" w:rsidP="0090071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349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3612D3" w:rsidRDefault="00200A8D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.5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509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prodaje </w:t>
            </w:r>
            <w:proofErr w:type="spellStart"/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509,1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  <w:tc>
          <w:tcPr>
            <w:tcW w:w="3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proizvedene dugotrajne imovine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708B2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3612D3" w:rsidRDefault="00200A8D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200A8D" w:rsidRPr="003612D3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3612D3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200A8D" w:rsidRDefault="00200A8D" w:rsidP="00200A8D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tbl>
      <w:tblPr>
        <w:tblW w:w="8880" w:type="dxa"/>
        <w:tblInd w:w="766" w:type="dxa"/>
        <w:tblLook w:val="04A0"/>
      </w:tblPr>
      <w:tblGrid>
        <w:gridCol w:w="740"/>
        <w:gridCol w:w="3515"/>
        <w:gridCol w:w="740"/>
        <w:gridCol w:w="809"/>
        <w:gridCol w:w="809"/>
        <w:gridCol w:w="740"/>
        <w:gridCol w:w="740"/>
        <w:gridCol w:w="787"/>
      </w:tblGrid>
      <w:tr w:rsidR="00200A8D" w:rsidRPr="005C5F8C" w:rsidTr="00200A8D">
        <w:trPr>
          <w:trHeight w:val="375"/>
        </w:trPr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RASHODI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4.0</w:t>
            </w:r>
            <w:r w:rsidR="002708B2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09.100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336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659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,8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40</w:t>
            </w:r>
          </w:p>
        </w:tc>
      </w:tr>
      <w:tr w:rsidR="00200A8D" w:rsidRPr="005C5F8C" w:rsidTr="00200A8D">
        <w:trPr>
          <w:trHeight w:val="375"/>
        </w:trPr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888.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5C5F8C" w:rsidRDefault="00200A8D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5C5F8C" w:rsidRDefault="00200A8D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242.950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865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2708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708B2" w:rsidP="002708B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276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4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111.2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555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727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675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5C5F8C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</w:tr>
      <w:tr w:rsidR="00200A8D" w:rsidRPr="005C5F8C" w:rsidTr="00200A8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200A8D" w:rsidRDefault="00200A8D" w:rsidP="00200A8D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C97673" w:rsidRDefault="00C97673" w:rsidP="00C97673">
      <w:pPr>
        <w:pStyle w:val="Tijeloteksta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rashodi prema izvorima financiranja</w:t>
      </w:r>
    </w:p>
    <w:tbl>
      <w:tblPr>
        <w:tblpPr w:leftFromText="180" w:rightFromText="180" w:vertAnchor="text" w:horzAnchor="margin" w:tblpY="259"/>
        <w:tblW w:w="8375" w:type="dxa"/>
        <w:tblLook w:val="04A0"/>
      </w:tblPr>
      <w:tblGrid>
        <w:gridCol w:w="882"/>
        <w:gridCol w:w="882"/>
        <w:gridCol w:w="707"/>
        <w:gridCol w:w="850"/>
        <w:gridCol w:w="1403"/>
        <w:gridCol w:w="692"/>
        <w:gridCol w:w="692"/>
        <w:gridCol w:w="740"/>
        <w:gridCol w:w="740"/>
        <w:gridCol w:w="787"/>
      </w:tblGrid>
      <w:tr w:rsidR="00200A8D" w:rsidRPr="00EF38CA" w:rsidTr="00200A8D">
        <w:trPr>
          <w:trHeight w:val="375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PRIHODI</w:t>
            </w: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EF38CA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009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100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EF38CA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</w:t>
            </w:r>
            <w:r w:rsidR="00EF4F8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70</w:t>
            </w: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</w:t>
            </w:r>
            <w:r w:rsidR="00EF4F8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74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 w:rsidR="00EF4F8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EF38CA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24</w:t>
            </w:r>
          </w:p>
        </w:tc>
      </w:tr>
      <w:tr w:rsidR="00200A8D" w:rsidRPr="00EF38CA" w:rsidTr="00200A8D">
        <w:trPr>
          <w:trHeight w:val="375"/>
        </w:trPr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200A8D" w:rsidRPr="00EF38CA" w:rsidTr="00200A8D">
        <w:trPr>
          <w:trHeight w:val="30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00A8D" w:rsidRPr="00EF38CA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324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00A8D" w:rsidRPr="00EF38CA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544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EF38CA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EF38CA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EF38CA" w:rsidRDefault="00EF4F83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034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200A8D" w:rsidP="00EF4F8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EF4F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575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,3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64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349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</w:p>
        </w:tc>
      </w:tr>
      <w:tr w:rsidR="00200A8D" w:rsidRPr="00EF38CA" w:rsidTr="00200A8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EF38CA" w:rsidTr="00200A8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EF38CA" w:rsidRDefault="00200A8D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.5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509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prodaje </w:t>
            </w:r>
            <w:proofErr w:type="spellStart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</w:t>
            </w:r>
          </w:p>
        </w:tc>
      </w:tr>
      <w:tr w:rsidR="00200A8D" w:rsidRPr="00EF38CA" w:rsidTr="00200A8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200A8D" w:rsidRPr="00EF38CA" w:rsidTr="00200A8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EF38CA" w:rsidTr="00200A8D">
        <w:trPr>
          <w:trHeight w:val="30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00A8D" w:rsidRPr="00EF38CA" w:rsidRDefault="00200A8D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684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277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EF38CA" w:rsidRDefault="00200A8D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684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277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</w:t>
            </w:r>
          </w:p>
        </w:tc>
      </w:tr>
      <w:tr w:rsidR="00200A8D" w:rsidRPr="00EF38CA" w:rsidTr="00200A8D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684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335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277</w:t>
            </w:r>
            <w:r w:rsidR="00200A8D"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DF55DD" w:rsidRDefault="00335EC4" w:rsidP="00335E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DF55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DF55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,</w:t>
            </w:r>
            <w:r w:rsidRPr="00DF55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52</w:t>
            </w:r>
          </w:p>
        </w:tc>
      </w:tr>
      <w:tr w:rsidR="00200A8D" w:rsidRPr="00EF38CA" w:rsidTr="00200A8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EF38CA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tbl>
      <w:tblPr>
        <w:tblW w:w="9259" w:type="dxa"/>
        <w:tblLook w:val="04A0"/>
      </w:tblPr>
      <w:tblGrid>
        <w:gridCol w:w="869"/>
        <w:gridCol w:w="869"/>
        <w:gridCol w:w="728"/>
        <w:gridCol w:w="2268"/>
        <w:gridCol w:w="640"/>
        <w:gridCol w:w="809"/>
        <w:gridCol w:w="809"/>
        <w:gridCol w:w="740"/>
        <w:gridCol w:w="740"/>
        <w:gridCol w:w="787"/>
      </w:tblGrid>
      <w:tr w:rsidR="00200A8D" w:rsidRPr="00AB1619" w:rsidTr="00200A8D">
        <w:trPr>
          <w:trHeight w:val="375"/>
        </w:trPr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AB1619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</w:tr>
      <w:tr w:rsidR="00200A8D" w:rsidRPr="00AB1619" w:rsidTr="00200A8D">
        <w:trPr>
          <w:trHeight w:val="375"/>
        </w:trPr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RASHODI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4.0</w:t>
            </w:r>
            <w:r w:rsidR="00DF55D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09</w:t>
            </w:r>
            <w:r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.1</w:t>
            </w:r>
            <w:r w:rsidR="00DF55D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</w:t>
            </w:r>
            <w:r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336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659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,8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40</w:t>
            </w:r>
          </w:p>
        </w:tc>
      </w:tr>
      <w:tr w:rsidR="00200A8D" w:rsidRPr="00AB1619" w:rsidTr="00200A8D">
        <w:trPr>
          <w:trHeight w:val="375"/>
        </w:trPr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AB1619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200A8D" w:rsidRPr="00AB1619" w:rsidTr="00200A8D">
        <w:trPr>
          <w:trHeight w:val="30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.3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327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.4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56,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208.2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</w:p>
        </w:tc>
      </w:tr>
      <w:tr w:rsidR="00200A8D" w:rsidRPr="00AB1619" w:rsidTr="00200A8D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</w:t>
            </w:r>
          </w:p>
        </w:tc>
      </w:tr>
      <w:tr w:rsidR="00200A8D" w:rsidRPr="00AB1619" w:rsidTr="00200A8D">
        <w:trPr>
          <w:trHeight w:val="30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684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5.3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563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AB1619" w:rsidRDefault="00200A8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F55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F55DD" w:rsidP="00DF5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161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408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6,44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709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11,03</w:t>
            </w:r>
          </w:p>
        </w:tc>
      </w:tr>
      <w:tr w:rsidR="00D43A64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43A64" w:rsidRPr="00AB1619" w:rsidRDefault="00D43A64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43A64" w:rsidRPr="00AB1619" w:rsidRDefault="00D43A64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43A64" w:rsidRPr="00AB1619" w:rsidRDefault="00D43A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43A64" w:rsidRPr="00AB1619" w:rsidRDefault="00D43A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43A64" w:rsidRPr="00AB1619" w:rsidRDefault="00D43A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7,97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6.077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</w:tr>
      <w:tr w:rsidR="00200A8D" w:rsidRPr="00AB1619" w:rsidTr="00200A8D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553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,1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43A64" w:rsidP="00D43A6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,93</w:t>
            </w:r>
          </w:p>
        </w:tc>
      </w:tr>
      <w:tr w:rsidR="00200A8D" w:rsidRPr="00AB1619" w:rsidTr="00200A8D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168.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111.230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AB1619" w:rsidRDefault="00D43A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3,56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93.000</w:t>
            </w: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43A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20.555,05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43A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5,23</w:t>
            </w:r>
          </w:p>
        </w:tc>
      </w:tr>
      <w:tr w:rsidR="00200A8D" w:rsidRPr="00AB1619" w:rsidTr="00200A8D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AB1619" w:rsidTr="00200A8D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2.727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.675</w:t>
            </w:r>
            <w:r w:rsidR="00200A8D"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AB1619" w:rsidRDefault="00D43A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3,32</w:t>
            </w:r>
          </w:p>
        </w:tc>
      </w:tr>
      <w:tr w:rsidR="00200A8D" w:rsidRPr="00AB1619" w:rsidTr="00200A8D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AB1619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200A8D" w:rsidRDefault="00C97673" w:rsidP="00200A8D">
      <w:pPr>
        <w:pStyle w:val="Tijeloteksta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rashodi prema funkcijskoj klasifikaciji</w:t>
      </w:r>
    </w:p>
    <w:p w:rsid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8880" w:type="dxa"/>
        <w:tblInd w:w="757" w:type="dxa"/>
        <w:tblLook w:val="04A0"/>
      </w:tblPr>
      <w:tblGrid>
        <w:gridCol w:w="882"/>
        <w:gridCol w:w="882"/>
        <w:gridCol w:w="956"/>
        <w:gridCol w:w="284"/>
        <w:gridCol w:w="283"/>
        <w:gridCol w:w="1461"/>
        <w:gridCol w:w="692"/>
        <w:gridCol w:w="692"/>
        <w:gridCol w:w="740"/>
        <w:gridCol w:w="740"/>
        <w:gridCol w:w="440"/>
        <w:gridCol w:w="828"/>
      </w:tblGrid>
      <w:tr w:rsidR="00200A8D" w:rsidRPr="008C42D0" w:rsidTr="005A318F">
        <w:trPr>
          <w:trHeight w:val="37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RASHODI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336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659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D43A64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40</w:t>
            </w:r>
          </w:p>
        </w:tc>
      </w:tr>
      <w:tr w:rsidR="00200A8D" w:rsidRPr="008C42D0" w:rsidTr="005A318F">
        <w:trPr>
          <w:trHeight w:val="375"/>
        </w:trPr>
        <w:tc>
          <w:tcPr>
            <w:tcW w:w="3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5C5F8C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5C5F8C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.3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4F4C1E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,41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D43A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43A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.3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456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,6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0133  Ostale opće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0742C0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0742C0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F4C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4F4C1E" w:rsidP="004F4C1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E14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0742C0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32,51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0742C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0742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397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078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21.289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,5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20.671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.9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E85E41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.9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,9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  <w:r w:rsidR="002E14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E1464" w:rsidP="002E146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.87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,7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E85E41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33.325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E85E41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85E41" w:rsidRPr="008C42D0" w:rsidRDefault="00E85E41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85E41" w:rsidRPr="008C42D0" w:rsidRDefault="00E85E41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E85E41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E85E41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E85E41" w:rsidRPr="008C42D0" w:rsidRDefault="00E85E41" w:rsidP="00E85E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85E41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E85E41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36.300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E85E41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89,53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392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E85E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E85E41" w:rsidP="00E85E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CA7727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</w:t>
            </w:r>
            <w:r w:rsidR="00526A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Naknade građanima i 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13.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49257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  <w:r w:rsidR="004925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378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925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28.702,40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5A318F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49257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4925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925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028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C4803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6.844,6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C4803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6.844,6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4.386,19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2.458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526A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26A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109.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43.2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43.2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66.6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</w:t>
            </w:r>
            <w:r w:rsidR="005A3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5A318F" w:rsidP="005A31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921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863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058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571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526A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 w:rsidR="00526A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571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494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6,59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.8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C48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000</w:t>
            </w: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1.373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42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4C4803" w:rsidP="004C480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="00200A8D"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00A8D" w:rsidRPr="008C42D0" w:rsidRDefault="00200A8D" w:rsidP="00200A8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00A8D" w:rsidRPr="008C42D0" w:rsidTr="005A318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00A8D" w:rsidRPr="008C42D0" w:rsidRDefault="00200A8D" w:rsidP="00200A8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200A8D" w:rsidRPr="00200A8D" w:rsidRDefault="00200A8D" w:rsidP="00200A8D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00A8D" w:rsidRDefault="00200A8D" w:rsidP="00200A8D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C97673" w:rsidRDefault="00C97673" w:rsidP="00C97673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 Račun financiranja</w:t>
      </w:r>
    </w:p>
    <w:p w:rsidR="00C97673" w:rsidRDefault="00C97673" w:rsidP="00C97673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a.   Račun financiranja prema ekonomskoj klasifikaciji</w:t>
      </w:r>
    </w:p>
    <w:p w:rsidR="00526AE0" w:rsidRDefault="00526AE0" w:rsidP="00526AE0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084" w:type="dxa"/>
        <w:tblInd w:w="766" w:type="dxa"/>
        <w:tblLook w:val="04A0"/>
      </w:tblPr>
      <w:tblGrid>
        <w:gridCol w:w="740"/>
        <w:gridCol w:w="2815"/>
        <w:gridCol w:w="740"/>
        <w:gridCol w:w="740"/>
        <w:gridCol w:w="740"/>
        <w:gridCol w:w="740"/>
        <w:gridCol w:w="740"/>
        <w:gridCol w:w="451"/>
        <w:gridCol w:w="289"/>
        <w:gridCol w:w="740"/>
        <w:gridCol w:w="349"/>
      </w:tblGrid>
      <w:tr w:rsidR="00526AE0" w:rsidRPr="00753257" w:rsidTr="00526AE0">
        <w:trPr>
          <w:gridAfter w:val="1"/>
          <w:wAfter w:w="349" w:type="dxa"/>
          <w:trHeight w:val="375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PRIMICI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</w:t>
            </w: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0,00</w:t>
            </w:r>
          </w:p>
        </w:tc>
      </w:tr>
      <w:tr w:rsidR="00526AE0" w:rsidRPr="00753257" w:rsidTr="00526AE0">
        <w:trPr>
          <w:trHeight w:val="375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6AE0" w:rsidRPr="005C5F8C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6AE0" w:rsidRPr="005C5F8C" w:rsidRDefault="00526AE0" w:rsidP="00526A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</w:tcBorders>
            <w:shd w:val="clear" w:color="FFFFFF" w:fill="FFFFFF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  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plana</w:t>
            </w:r>
          </w:p>
        </w:tc>
        <w:tc>
          <w:tcPr>
            <w:tcW w:w="1378" w:type="dxa"/>
            <w:gridSpan w:val="3"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</w:t>
            </w: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526AE0" w:rsidRPr="00753257" w:rsidTr="00526AE0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3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Primici od financijske imovine i zaduživanja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26AE0" w:rsidRPr="00753257" w:rsidTr="00526AE0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26AE0" w:rsidRPr="00753257" w:rsidTr="00526AE0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Primici od zaduživanja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</w:tbl>
    <w:p w:rsidR="00526AE0" w:rsidRDefault="00526AE0" w:rsidP="00526AE0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526AE0" w:rsidRDefault="00526AE0" w:rsidP="00526AE0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526AE0" w:rsidRPr="00526AE0" w:rsidRDefault="00526AE0" w:rsidP="00526AE0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  <w:r w:rsidRPr="00526AE0">
        <w:rPr>
          <w:rFonts w:ascii="Times New Roman" w:hAnsi="Times New Roman" w:cs="Times New Roman"/>
        </w:rPr>
        <w:t xml:space="preserve">     2.2. Račun financiranja</w:t>
      </w:r>
    </w:p>
    <w:p w:rsidR="00526AE0" w:rsidRPr="00526AE0" w:rsidRDefault="00526AE0" w:rsidP="00526AE0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  <w:r w:rsidRPr="00526AE0">
        <w:rPr>
          <w:rFonts w:ascii="Times New Roman" w:hAnsi="Times New Roman" w:cs="Times New Roman"/>
        </w:rPr>
        <w:t xml:space="preserve">           a.   Račun financiranja prema ekonomskoj klasifikaciji</w:t>
      </w:r>
    </w:p>
    <w:p w:rsidR="00526AE0" w:rsidRPr="00526AE0" w:rsidRDefault="00526AE0" w:rsidP="00526AE0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084" w:type="dxa"/>
        <w:tblInd w:w="766" w:type="dxa"/>
        <w:tblLook w:val="04A0"/>
      </w:tblPr>
      <w:tblGrid>
        <w:gridCol w:w="740"/>
        <w:gridCol w:w="2815"/>
        <w:gridCol w:w="740"/>
        <w:gridCol w:w="740"/>
        <w:gridCol w:w="740"/>
        <w:gridCol w:w="740"/>
        <w:gridCol w:w="740"/>
        <w:gridCol w:w="451"/>
        <w:gridCol w:w="289"/>
        <w:gridCol w:w="740"/>
        <w:gridCol w:w="349"/>
      </w:tblGrid>
      <w:tr w:rsidR="00526AE0" w:rsidRPr="00753257" w:rsidTr="00526AE0">
        <w:trPr>
          <w:gridAfter w:val="1"/>
          <w:wAfter w:w="349" w:type="dxa"/>
          <w:trHeight w:val="375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PRIMICI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26AE0" w:rsidRPr="00753257" w:rsidRDefault="006D1FDD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</w:t>
            </w:r>
            <w:r w:rsidR="00526AE0"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0,00</w:t>
            </w:r>
          </w:p>
        </w:tc>
      </w:tr>
      <w:tr w:rsidR="00526AE0" w:rsidRPr="00753257" w:rsidTr="00526AE0">
        <w:trPr>
          <w:trHeight w:val="375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26AE0" w:rsidRPr="005C5F8C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6AE0" w:rsidRPr="005C5F8C" w:rsidRDefault="00526AE0" w:rsidP="00526A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</w:tcBorders>
            <w:shd w:val="clear" w:color="FFFFFF" w:fill="FFFFFF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  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plana</w:t>
            </w:r>
          </w:p>
        </w:tc>
        <w:tc>
          <w:tcPr>
            <w:tcW w:w="1378" w:type="dxa"/>
            <w:gridSpan w:val="3"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</w:t>
            </w: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526AE0" w:rsidRPr="00753257" w:rsidTr="00526AE0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3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Primici od financijske imovine i zaduživanja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6D1FDD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26AE0"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26AE0" w:rsidRPr="00753257" w:rsidTr="00526AE0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26AE0" w:rsidRPr="00753257" w:rsidTr="00526AE0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526AE0" w:rsidRPr="00753257" w:rsidRDefault="00526AE0" w:rsidP="00526AE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Primici od zaduživanja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526AE0" w:rsidRPr="00753257" w:rsidRDefault="006D1FDD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26AE0"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526AE0" w:rsidRPr="00753257" w:rsidRDefault="00526AE0" w:rsidP="00526AE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</w:tbl>
    <w:p w:rsidR="00526AE0" w:rsidRDefault="00526AE0" w:rsidP="00526AE0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526AE0" w:rsidRDefault="00526AE0" w:rsidP="00526AE0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C97673" w:rsidRDefault="00C97673" w:rsidP="00526AE0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27414A" w:rsidRDefault="0027414A" w:rsidP="0027414A">
      <w:pPr>
        <w:pStyle w:val="Tijelotek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PRORAČUNA</w:t>
      </w:r>
    </w:p>
    <w:p w:rsidR="00CC613A" w:rsidRDefault="00CC613A" w:rsidP="00CC613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374" w:type="dxa"/>
        <w:tblInd w:w="93" w:type="dxa"/>
        <w:tblLook w:val="04A0"/>
      </w:tblPr>
      <w:tblGrid>
        <w:gridCol w:w="1310"/>
        <w:gridCol w:w="1061"/>
        <w:gridCol w:w="1461"/>
        <w:gridCol w:w="277"/>
        <w:gridCol w:w="1078"/>
        <w:gridCol w:w="579"/>
        <w:gridCol w:w="577"/>
        <w:gridCol w:w="579"/>
        <w:gridCol w:w="589"/>
        <w:gridCol w:w="709"/>
        <w:gridCol w:w="709"/>
        <w:gridCol w:w="761"/>
        <w:gridCol w:w="684"/>
      </w:tblGrid>
      <w:tr w:rsidR="00506448" w:rsidRPr="00506448" w:rsidTr="00506448">
        <w:trPr>
          <w:trHeight w:val="369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   </w:t>
            </w:r>
            <w:r w:rsidRPr="00506448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4.009.100,00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336.659,86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8,40</w:t>
            </w:r>
          </w:p>
        </w:tc>
      </w:tr>
      <w:tr w:rsidR="00506448" w:rsidRPr="00506448" w:rsidTr="00506448">
        <w:trPr>
          <w:trHeight w:val="369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506448" w:rsidRPr="00506448" w:rsidTr="00506448">
        <w:trPr>
          <w:trHeight w:val="33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100</w:t>
            </w:r>
          </w:p>
        </w:tc>
        <w:tc>
          <w:tcPr>
            <w:tcW w:w="29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PREDSTAVNIČKA TIJELA,ODBORI I POLITIČKE STRANKE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13.100,00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2.318,50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17,70</w:t>
            </w:r>
          </w:p>
        </w:tc>
      </w:tr>
      <w:tr w:rsidR="00506448" w:rsidRPr="00506448" w:rsidTr="00506448">
        <w:trPr>
          <w:trHeight w:val="33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3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01001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 OPĆINSKO VIJEĆE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13.100,00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2.318,50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17,70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1015 REDOVNA DJELATNOST PREDSTAVNIČKIH TIJELA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2.318,50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19,82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NAKNADA ZA RAD OPĆINSKOG VIJEĆA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951,18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20,24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951,18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20,24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951,18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20,24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951,18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20,24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951,18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20,24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RAD POVJERENSTAVA I ODBORA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NAKNADE ZA RAD PREDSJEDNIKA I ZAMJENIKA OPĆINSKOG VIJEĆA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1.367,32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45,58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1.367,32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45,58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1.367,32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45,58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1.367,32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45,58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1.367,32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45,58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1016 DJELATNOSTI MJESNIH ODBORA I POLITIČKIH STRANAKA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RAD POLITIČKIH STRANAKA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8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3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101</w:t>
            </w:r>
          </w:p>
        </w:tc>
        <w:tc>
          <w:tcPr>
            <w:tcW w:w="29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IZVRŠNA TIJELA I UPRAVNI ODJELI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3.996.000,00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334.341,36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8,37</w:t>
            </w:r>
          </w:p>
        </w:tc>
      </w:tr>
      <w:tr w:rsidR="00506448" w:rsidRPr="00506448" w:rsidTr="00506448">
        <w:trPr>
          <w:trHeight w:val="33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01002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G-UPRAVNI ODJEL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3.996.000,00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334.341,36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8,37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1018 PRIPREMA, DONOŠENJE I PROVEDBA AKATA UPRAVNOG ODJELA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455.500,00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105.816,78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23,23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6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K100001 NABAVA UREDSKE OPREME I NAMJEŠTAJA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13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REDOVNO POSLOVANJE I TEKUĆE AKTIVNOSTI OPĆINSKE UPRAVE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158.050,00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76.317,87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48,29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5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158.050,00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76.317,87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48,29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158.050,00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76.317,87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48,29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158.050,00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76.317,87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48,29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81.350,00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22.456,62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27,60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53.861,25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70,22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PRIVREMENO ZAPOSLENI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7.650,00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10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BANKE I USLUGE BANAKA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18.200,00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9.276,09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50,97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9.276,09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50,97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9.276,09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9.276,09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9.276,09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50,97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A101806 ODRŽAVANJE MANIFESTACIJA (DAN OPĆINE, PRIJEM NAČELNIKA, GRAHIJADA, KOBASICIJADA, RAZNI TURNIRI, ITD.)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5.735,14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28,68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0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5.735,14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28,68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5.735,14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28,68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5.735,14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28,68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17.800,00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4.435,14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24,92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59,09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A101808 ZAŽELI - PROGRAM ZAPOŠLJAVANJA ŽENA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14.487,68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13,60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14.487,68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13,60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14.487,68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13,60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14.487,68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13,60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10.408,74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11,04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4.078,94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33,43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A101809 ZAJEDNO ZA STARIJE OSOBE P. MOSLAVINE - PROJEKT ŠIRENJA MREŽE SOCIJALNIH USLUGA U ZAJEDNICI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140.500,00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5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147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1019 GOSPODARSTVO I POLJOPRIVREDA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318,60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0,71</w:t>
            </w:r>
          </w:p>
        </w:tc>
      </w:tr>
      <w:tr w:rsidR="00506448" w:rsidRPr="00506448" w:rsidTr="00506448">
        <w:trPr>
          <w:trHeight w:val="35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SUBVENCIJE ZA POTICANJE RAZVOJA GOSPODARSTVA I OBRTNIŠTVA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2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UMJETNO OSJEMENJIVANJE I TROŠKOVI ANALIZE TLA U POLJOPRIVREDI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318,60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21,24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3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21,24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21,24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21,24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21,24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STRUČNA PUTOVANJA POLJOPRIVREDNIKA I OBRTNIKA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A101904 POMOĆ OŠTEĆENICIMA U SLUČAJU PRIRODNIH NEPOGODA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4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1020 KOMUNALNE DJELATNOSTI, INFRASTRUKTURA I ZAŠTITA OKOLIŠA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243.500,00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74.415,79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30,56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7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60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K100005 NABAVA VIŠEGODIŠNJIH NASADA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4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5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66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K100006 NABAVA OPREME ZA KOMUNALNE DJELATNOSTI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7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69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K102010 IZMJENE I DOPUNE PROSTORNOG PLANA OPĆINE P. MOSLAVINA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1,88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1,88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1,88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1,88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1,88</w:t>
            </w:r>
          </w:p>
        </w:tc>
      </w:tr>
      <w:tr w:rsidR="00506448" w:rsidRPr="00506448" w:rsidTr="00506448">
        <w:trPr>
          <w:trHeight w:val="236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60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K102015 WIFI BEŽIČNA INTERNET ZONA U OPĆINI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147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0133  Ostale opće usluge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2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56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K102016 MONTAŽA I OPREMANJE DJEČJEG IGRALIŠTA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22.546,31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147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22.546,31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22.546,31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22.546,31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21.921,31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6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K102017 VIDEO NADZOR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888,75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13,67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13,67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13,67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13,67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13,67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6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K102018 POKRETNO RECIKLAŽNO DVORIŠTE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11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5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6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K102024 IZRADA PROJEKTNE DOKUMENTACIJE I RADOVI NA NOGOMETNOM IGRALIŠTU U P. MOSLAVINI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2.687,50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20,21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2.687,50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20,21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2.687,50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20,21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2.687,50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20,21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2.687,50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81,44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POTROŠNJA I TEKUĆE ODRŽAVANJE JAVNE RASVJETE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3.405,19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42,56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3.405,19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42,56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1.127,89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225,58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1.127,89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225,58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1.127,89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225,58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2.277,30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30,36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2.277,30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30,36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2.277,30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30,36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UREĐENJE VODA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1.178,42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45,32</w:t>
            </w:r>
          </w:p>
        </w:tc>
      </w:tr>
      <w:tr w:rsidR="00506448" w:rsidRPr="00506448" w:rsidTr="00506448">
        <w:trPr>
          <w:trHeight w:val="29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1.178,42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45,32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1.178,42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45,32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1.178,42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45,32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1.178,42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45,32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ZIMSKA SLUŽBA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A102009 SUFINANCIRANJE PROJEKTNE DOKUMENTACIJE I IZGRADNJA SUSTAVA ODVODNJE I KANALIZACIJE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23.191,03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49,87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1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23.191,03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49,87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23.191,03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49,87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23.191,03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49,87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23.191,03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49,87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A102010 ZBRINJAVANJE I </w:t>
            </w: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ODVOZ KOMUNALNOG OTPADA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6.900,00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2.132,41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30,90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6.900,00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2.132,41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30,90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6.900,00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2.132,41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30,90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6.900,00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2.132,41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30,90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6.900,00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2.132,41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30,90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A102011 PROVOĐENJE DERATIZACIJE, DEZINFEKCIJE I DEZINSEKCIJE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11,36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1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11,36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11,36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11,36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11,36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A102013 ZBRINJAVANJE UGINULIH ŽIVOTINJA S JAVNIH POVRŠINA I ŽIVOTINJSKI OTPAD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196,78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1,70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196,78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196,78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196,78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196,78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1,70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A102014 SKRB O ŽIVOTINJAMA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A102015 AGROTEHNIČKE MJERE I ODRŽAVANJE KANALSKE MREŽE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2.403,55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9,39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3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2.403,55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9,39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9,20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9,20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9,20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17,26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17,26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17,26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A102016 ODRŽAVANJE POLJSKIH PUTOVA I NERAZVRSTANIH CESTA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4.360,49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30,49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3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4.360,49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30,49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4.360,49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42,33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4.360,49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42,33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4.360,49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42,33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A102017 ODRŽAVANJE JAVNIH POVRŠINA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8.675,36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45,66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8.675,36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45,66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8.675,36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45,66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8.675,36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45,66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8.675,36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45,66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K102025 MONTAŽA I OPREMANJE FITNES SPRAVAMA ZA VJEŽBANJE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6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176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1021 JAVNE POTREBE U OBRAZOVANJU, ZDRAVSTVU, KULTURI, SPORTU I VATROGASTVU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171.300,00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60.901,75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35,55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6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FINANCIRANJE PRIJEVOZA, IZLETA I OPĆE AKTIVNOSTI ŠKOLSTVA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6.077,43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46,75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3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6.077,43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46,75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6.077,43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6.077,43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6.077,43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STIPENDIJE, POTPORE I ŠKOLARINE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1.494,48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42,70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1.494,48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1.494,48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1.494,48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1.494,48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ZGRADA AMBULANTE U P. MOSLAVINI ZA REŽIJE I ODRŽAVANJE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6.844,66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342,23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1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6.844,66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342,23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6.844,66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342,23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6.844,66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342,23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4.386,19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438,62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2.458,47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245,85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A102122 MANIFESTACIJE I </w:t>
            </w: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DONACIJE U KULTURI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A102123 POTICANJE AMATERSKOG SPORTA I REKREACIJE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1.267,11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5,51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1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1.267,11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5,51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1.267,11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5,51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1.267,11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5,51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1.267,11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5,51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A102124 PROTUPOŽARNA ZAŠTITA U VATROGASTVU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17,51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17,51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17,51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17,51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17,51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A102125 SUFINANCIRANJE ŠKOLSKOG MATERIJALA UČENICIMA OD 1. DO 8. RAZREDA OPĆINE P. MOSLAVINA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47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A102220 NOGOMETNO SREDIŠTE DONJI MIHOLJAC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796,32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66,36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796,32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66,36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796,32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66,36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796,32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66,36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796,32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66,36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A102120 TROŠKOVI ZA RAD VRTIĆA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39.921,75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43,68</w:t>
            </w:r>
          </w:p>
        </w:tc>
      </w:tr>
      <w:tr w:rsidR="00506448" w:rsidRPr="00506448" w:rsidTr="00506448">
        <w:trPr>
          <w:trHeight w:val="16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39.921,75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43,68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39.921,75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43,68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39.921,75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43,68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9.100,00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1.863,11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20,47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38.058,64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46,24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1022 SOCIJALNA SKRB, VJERSKE ZAJEDNICE I </w:t>
            </w: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OSTALE DRUŠTVENE DJELATNOSTI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52.000,00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8.030,42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15,44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DONACIJE ZA DJELOVANJE CRVENOG KRIŽA D. MIHOLJAC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1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DONACIJE ZA OGRIJEV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PORODILJNE I OSTALE NAKNADE U NOVCU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5.208,13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54,82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5.208,13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54,82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5.208,13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54,82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5.208,13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54,82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5.208,13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54,82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A100007 DONACIJE CRKVI U P. MOSLAVINI ZA TROŠKOVE EL. ENERGIJE I PLINA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1.087,37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21,75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1.087,37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1.087,37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1.087,37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1.087,37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21,75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A100008 DONACIJE CRKVI U KRČENIKU ZA TROŠKOVE EL. ENERGIJE I PLINA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361,37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12,05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3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361,37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12,05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361,37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12,05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361,37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12,05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361,37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12,05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A102217 POMOĆ UMIROVLJENICIMA SLABIJEG FINANCIJSKOG STANJA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773,55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29,75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0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29,75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773,55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29,75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A102218 PROVEDBA SUSTAVA CIVILNE ZAŠTITE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3.750,00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3.750,00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A102219 DONACIJE HRVATSKOJ GORSKOJ SLUŽBI SPAŠAVANJA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A102220 POMOĆ I POTPORA MLADIM OSOBAMA I OBITELJIMA NA PODRUČJU OPĆINE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A102221 POMOĆ UDRUGAMA PROIZAŠLIM IZ DOMOVINSKOG RATA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6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A102222 SOCIJALNE I DRUGE UDRUGE I ORGANIZACIJE GRAĐANA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1.150,00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8,70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3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1.150,00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A100006 OSTALE DONACIJE U NARAVI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10,00</w:t>
            </w:r>
          </w:p>
        </w:tc>
      </w:tr>
      <w:tr w:rsidR="00506448" w:rsidRPr="00506448" w:rsidTr="00506448">
        <w:trPr>
          <w:trHeight w:val="11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K102224 SANACIJA I POPRAVAK CRKVE U P. MOSLAVINI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1023 RURALNI RAZVOJ I FONDOVI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3.028.700,00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84.858,02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2,80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K102305 IZGRADNJA SUSTAVA SOLARNIH ĆELIJA NA ZGRADAMA U VLASNIŠTVU OPĆINE - FOTONAPONSKA ELEKTRANA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5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5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K102309 IZRADA PROJEKTNE DOKUMENTACIJE I IZGRADNJA GOSPODARSKE ZONE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9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K102311 IZRADA PROJEKTNE DOKUMENTACIJE I REKONSTRUKCIJA OBJEKTA KARAULE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1.060.000,00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4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1.060.000,00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1.060.000,00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1.060.000,00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9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 xml:space="preserve">K102315 IZRADA PROJEKTNE </w:t>
            </w: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DOKUMENTACIJE I IZGRADNJA BICIKLISTIČKIH STAZA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235.000,00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9.300,00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225.700,00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K102318 ENERGETSKA OBNOVA ZGRADE OPĆINE PODRAVSKA MOSLAVINA - SUSTAV GRIJANJA I HLAĐENJA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5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2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K102319 KULTURNI CENTAR PODRAVSKA MOSLAVINA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0,45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0,45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0,45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0,45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3,44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9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K102320 MULTIFUNKCIONALNI TEREN UZ NOGOMETNO IGRALIŠTE U P. MOSLAVINI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66.600,00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2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36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K102323 REKONSTRUKCIJA I IZGRADNJA CESTA I PROMETNICA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8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119.500,00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9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K102325 REKONSTRUKCIJA I IZGRADNJA DRUŠTVENOG DOMA U P. MOSLAVINI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14.693,53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10,57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5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14.693,53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10,57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14.693,53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10,57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14.693,53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10,57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132.400,00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14.693,53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11,10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K102326 IZGRADNJA LJETNE POZORNICE U P. MOSLAVINI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65.600,00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K102327 DOKUMENTACIJA I IZGRADNJA PJEŠAČKIH STAZA U P. MOSLAVINI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3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K102328 DOKUMENTACIJA I IZGRADNJA PJEŠAČKIH STAZA U KRČENIKU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10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K102329 DOKUMENTACIJA I IZGRADNJA PJEŠAČKIH STAZA U GEZINCIMA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8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2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K102334 POSTAVLJANJE OGRADE I STAZA NA GROBLJU U KRČENIKU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21.289,49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8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21.289,49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21.289,49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21.289,49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617,55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20.671,94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3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K102314 UREĐENJE PARKA U P. MOSLAVINI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3.062,50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10,21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3.062,50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10,21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3.062,50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10,21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3.062,50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10,21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3.062,50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153,13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5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K102336 IZGRADNJA PRISTANIŠTA NA RIJECI DRAVI NA PODRUČJU OPĆINE P. MOSLAVINA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5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K102340 ASFALTIRANJE CESTE U ULICI PODRAVLJE P. MOSLAVINA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105,00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 xml:space="preserve">K102341 REKONSTRUKCIJA </w:t>
            </w: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SPOMENIKA BRANITELJIMA U PODRAVSKOJ MOSLAVINI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226961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5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K102342 NABAVA ČISTILICE ZA ODVOJENO PRIKUPLJANJE OTPADA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33.325,00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102,54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8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33.325,00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102,54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33.325,00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102,54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33.325,00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102,54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06448" w:rsidRPr="00506448" w:rsidTr="00506448">
        <w:trPr>
          <w:trHeight w:val="32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K102339 UREĐENJE CENTRA PODRAVSKE MOSLAVINE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26.500,00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06448" w:rsidRPr="00506448" w:rsidRDefault="00A16EA0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</w:t>
            </w:r>
            <w:r w:rsidR="00506448"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102343 IZGRADNJA FUTSAL IGRALIŠTA I PROMETNIH POVRŠINA KOD DOMA U KRČENIKU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612,50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31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8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8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612,50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06448" w:rsidRPr="00506448" w:rsidTr="00506448">
        <w:trPr>
          <w:trHeight w:val="26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06448" w:rsidRPr="00506448" w:rsidRDefault="00506448" w:rsidP="0050644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064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CC613A" w:rsidRDefault="00CC613A" w:rsidP="00CC613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CC613A" w:rsidRDefault="00CC613A" w:rsidP="00CC613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CC613A" w:rsidRDefault="00CC613A" w:rsidP="00CC613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CC613A" w:rsidRDefault="00CC613A" w:rsidP="00CC613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CC613A" w:rsidRDefault="00CC613A" w:rsidP="00CC613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1B73BA" w:rsidRPr="00237045" w:rsidRDefault="001B73BA" w:rsidP="001B73B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1B73BA" w:rsidRPr="00237045" w:rsidRDefault="001B73BA" w:rsidP="001B73BA">
      <w:pPr>
        <w:pStyle w:val="Tijeloteksta"/>
        <w:spacing w:line="240" w:lineRule="auto"/>
        <w:jc w:val="center"/>
        <w:rPr>
          <w:rFonts w:ascii="Times New Roman" w:hAnsi="Times New Roman" w:cs="Times New Roman"/>
          <w:b/>
        </w:rPr>
      </w:pPr>
      <w:r w:rsidRPr="00237045">
        <w:rPr>
          <w:rFonts w:ascii="Times New Roman" w:hAnsi="Times New Roman" w:cs="Times New Roman"/>
          <w:b/>
        </w:rPr>
        <w:lastRenderedPageBreak/>
        <w:t>Članak 2.</w:t>
      </w:r>
    </w:p>
    <w:p w:rsidR="001B73BA" w:rsidRDefault="001B73BA" w:rsidP="00C97673">
      <w:pPr>
        <w:pStyle w:val="Tijeloteksta"/>
        <w:spacing w:after="0" w:line="240" w:lineRule="auto"/>
        <w:rPr>
          <w:rFonts w:ascii="Times New Roman" w:hAnsi="Times New Roman" w:cs="Times New Roman"/>
        </w:rPr>
      </w:pPr>
    </w:p>
    <w:p w:rsidR="00C97673" w:rsidRDefault="00C97673" w:rsidP="00C97673">
      <w:pPr>
        <w:tabs>
          <w:tab w:val="left" w:pos="426"/>
        </w:tabs>
        <w:autoSpaceDE w:val="0"/>
        <w:autoSpaceDN w:val="0"/>
        <w:adjustRightInd w:val="0"/>
        <w:spacing w:before="12"/>
        <w:ind w:left="-567" w:right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Osim </w:t>
      </w:r>
      <w:r w:rsidRPr="00E34CB1">
        <w:rPr>
          <w:rFonts w:ascii="Times New Roman" w:hAnsi="Times New Roman"/>
          <w:color w:val="000000"/>
        </w:rPr>
        <w:t>Opć</w:t>
      </w:r>
      <w:r>
        <w:rPr>
          <w:rFonts w:ascii="Times New Roman" w:hAnsi="Times New Roman"/>
          <w:color w:val="000000"/>
        </w:rPr>
        <w:t xml:space="preserve">eg i </w:t>
      </w:r>
      <w:r w:rsidRPr="00E34CB1">
        <w:rPr>
          <w:rFonts w:ascii="Times New Roman" w:hAnsi="Times New Roman"/>
          <w:color w:val="000000"/>
        </w:rPr>
        <w:t>posebn</w:t>
      </w:r>
      <w:r>
        <w:rPr>
          <w:rFonts w:ascii="Times New Roman" w:hAnsi="Times New Roman"/>
          <w:color w:val="000000"/>
        </w:rPr>
        <w:t xml:space="preserve">og </w:t>
      </w:r>
      <w:r w:rsidRPr="00E34CB1"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jela, sastavni dio polugodišnjeg </w:t>
      </w:r>
      <w:r w:rsidRPr="00E34CB1">
        <w:rPr>
          <w:rFonts w:ascii="Times New Roman" w:hAnsi="Times New Roman"/>
          <w:color w:val="000000"/>
        </w:rPr>
        <w:t>izvještaj</w:t>
      </w:r>
      <w:r>
        <w:rPr>
          <w:rFonts w:ascii="Times New Roman" w:hAnsi="Times New Roman"/>
          <w:color w:val="000000"/>
        </w:rPr>
        <w:t>a</w:t>
      </w:r>
      <w:r w:rsidRPr="00E34CB1">
        <w:rPr>
          <w:rFonts w:ascii="Times New Roman" w:hAnsi="Times New Roman"/>
          <w:color w:val="000000"/>
        </w:rPr>
        <w:t xml:space="preserve"> o izvršenju proračuna</w:t>
      </w:r>
      <w:r>
        <w:rPr>
          <w:rFonts w:ascii="Times New Roman" w:hAnsi="Times New Roman"/>
          <w:color w:val="000000"/>
        </w:rPr>
        <w:t xml:space="preserve"> Općine Podravska Moslavina su: </w:t>
      </w:r>
    </w:p>
    <w:p w:rsidR="00C97673" w:rsidRDefault="00C97673" w:rsidP="00C97673">
      <w:pPr>
        <w:tabs>
          <w:tab w:val="left" w:pos="426"/>
        </w:tabs>
        <w:autoSpaceDE w:val="0"/>
        <w:autoSpaceDN w:val="0"/>
        <w:adjustRightInd w:val="0"/>
        <w:spacing w:before="12"/>
        <w:ind w:left="-567" w:right="1"/>
        <w:jc w:val="both"/>
        <w:rPr>
          <w:rFonts w:ascii="Times New Roman" w:hAnsi="Times New Roman"/>
          <w:color w:val="000000"/>
        </w:rPr>
      </w:pPr>
    </w:p>
    <w:p w:rsidR="00C97673" w:rsidRDefault="00C97673" w:rsidP="00C97673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color w:val="000000"/>
        </w:rPr>
      </w:pPr>
      <w:r w:rsidRPr="00974B34">
        <w:rPr>
          <w:color w:val="000000"/>
        </w:rPr>
        <w:t>OBRAZLOŽENJE</w:t>
      </w:r>
      <w:r>
        <w:rPr>
          <w:color w:val="000000"/>
        </w:rPr>
        <w:t xml:space="preserve"> POLUGODIŠNJEG IZVJEŠTAJA O IZVRŠENJU PRORAČUNA</w:t>
      </w:r>
    </w:p>
    <w:p w:rsidR="00C97673" w:rsidRPr="00974B34" w:rsidRDefault="00C97673" w:rsidP="00C97673">
      <w:pPr>
        <w:pStyle w:val="Odlomakpopisa"/>
        <w:widowControl w:val="0"/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color w:val="000000"/>
        </w:rPr>
      </w:pPr>
      <w:r>
        <w:rPr>
          <w:color w:val="000000"/>
        </w:rPr>
        <w:t>koje sadrži: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O</w:t>
      </w:r>
      <w:r w:rsidRPr="0049364E">
        <w:rPr>
          <w:color w:val="000000"/>
        </w:rPr>
        <w:t>brazloženje ostvarenih prihoda</w:t>
      </w:r>
      <w:r>
        <w:rPr>
          <w:color w:val="000000"/>
        </w:rPr>
        <w:t xml:space="preserve"> i rashoda, primitaka i izdataka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Prikaz manjka, odnosno viška proračuna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Obrazloženje izvršenja programa po organizacijskoj klasifikaciji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Stanje nenaplaćenih potraživanja za prihode Općine Podravska Moslavina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Stanje  nepodmirenih obveza Općine Podravska Moslavina,</w:t>
      </w:r>
    </w:p>
    <w:p w:rsidR="00C97673" w:rsidRDefault="00C97673" w:rsidP="00C97673">
      <w:pPr>
        <w:tabs>
          <w:tab w:val="left" w:pos="426"/>
        </w:tabs>
        <w:autoSpaceDE w:val="0"/>
        <w:autoSpaceDN w:val="0"/>
        <w:adjustRightInd w:val="0"/>
        <w:ind w:left="-215" w:right="391"/>
        <w:jc w:val="both"/>
        <w:rPr>
          <w:rFonts w:hint="eastAsia"/>
          <w:color w:val="000000"/>
        </w:rPr>
      </w:pPr>
    </w:p>
    <w:p w:rsidR="00C97673" w:rsidRDefault="00C97673" w:rsidP="00C97673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color w:val="000000"/>
        </w:rPr>
      </w:pPr>
      <w:r>
        <w:rPr>
          <w:color w:val="000000"/>
        </w:rPr>
        <w:t>POSEBNI IZVJEŠTAJI U POLUGODIŠNJEM IZVJEŠTAJU O IZVRŠENJU PRORAČUNA</w:t>
      </w:r>
    </w:p>
    <w:p w:rsidR="00C97673" w:rsidRPr="00F30BD2" w:rsidRDefault="00C97673" w:rsidP="00C97673">
      <w:pPr>
        <w:pStyle w:val="Odlomakpopisa"/>
        <w:widowControl w:val="0"/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color w:val="000000"/>
        </w:rPr>
      </w:pPr>
      <w:r>
        <w:rPr>
          <w:color w:val="000000"/>
        </w:rPr>
        <w:t>a sadrže:</w:t>
      </w:r>
    </w:p>
    <w:p w:rsidR="00C97673" w:rsidRPr="0049364E" w:rsidRDefault="00C97673" w:rsidP="00C97673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 w:rsidRPr="0049364E">
        <w:rPr>
          <w:color w:val="000000"/>
        </w:rPr>
        <w:t>Izvještaj o korištenju proračunske zalihe</w:t>
      </w:r>
    </w:p>
    <w:p w:rsidR="00C97673" w:rsidRPr="0049364E" w:rsidRDefault="00C97673" w:rsidP="00C97673">
      <w:pPr>
        <w:pStyle w:val="Odlomakpopis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 w:rsidRPr="0049364E">
        <w:rPr>
          <w:color w:val="000000"/>
        </w:rPr>
        <w:t>Izvještaj o zaduživanju na domaćem i stranom tržištu novca i kapitala</w:t>
      </w:r>
    </w:p>
    <w:p w:rsidR="00C97673" w:rsidRPr="0049364E" w:rsidRDefault="00C97673" w:rsidP="00C97673">
      <w:pPr>
        <w:pStyle w:val="Odlomakpopis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 w:rsidRPr="0049364E">
        <w:rPr>
          <w:color w:val="000000"/>
        </w:rPr>
        <w:t>Pregled o danim jamstvima i plaćanjima po protestiranim jamstvima</w:t>
      </w:r>
      <w:r>
        <w:rPr>
          <w:color w:val="000000"/>
        </w:rPr>
        <w:t>.</w:t>
      </w:r>
    </w:p>
    <w:p w:rsidR="00C97673" w:rsidRPr="00237045" w:rsidRDefault="00C97673" w:rsidP="00C97673">
      <w:pPr>
        <w:pStyle w:val="Bezproreda"/>
        <w:rPr>
          <w:rFonts w:hint="eastAsia"/>
        </w:rPr>
      </w:pPr>
    </w:p>
    <w:p w:rsidR="001B73BA" w:rsidRPr="00237045" w:rsidRDefault="001B73B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</w:rPr>
      </w:pPr>
    </w:p>
    <w:p w:rsidR="001B73BA" w:rsidRPr="00237045" w:rsidRDefault="001B73B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7045">
        <w:rPr>
          <w:rFonts w:ascii="Times New Roman" w:hAnsi="Times New Roman" w:cs="Times New Roman"/>
          <w:b/>
          <w:bCs/>
        </w:rPr>
        <w:t>Članak 3.</w:t>
      </w:r>
    </w:p>
    <w:p w:rsidR="001B73BA" w:rsidRPr="00237045" w:rsidRDefault="001B73B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color w:val="000000"/>
          <w:lang w:val="sv-SE"/>
        </w:rPr>
      </w:pPr>
    </w:p>
    <w:p w:rsidR="00955116" w:rsidRPr="00E34CB1" w:rsidRDefault="00955116" w:rsidP="00955116">
      <w:pPr>
        <w:tabs>
          <w:tab w:val="left" w:pos="426"/>
        </w:tabs>
        <w:autoSpaceDE w:val="0"/>
        <w:autoSpaceDN w:val="0"/>
        <w:adjustRightInd w:val="0"/>
        <w:spacing w:before="12"/>
        <w:ind w:left="-567" w:right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E34CB1">
        <w:rPr>
          <w:rFonts w:ascii="Times New Roman" w:hAnsi="Times New Roman"/>
          <w:color w:val="000000"/>
        </w:rPr>
        <w:t xml:space="preserve">Opći dio i posebni dio </w:t>
      </w:r>
      <w:r>
        <w:rPr>
          <w:rFonts w:ascii="Times New Roman" w:hAnsi="Times New Roman"/>
          <w:color w:val="000000"/>
        </w:rPr>
        <w:t xml:space="preserve">Polugodišnjeg </w:t>
      </w:r>
      <w:r w:rsidRPr="00E34CB1">
        <w:rPr>
          <w:rFonts w:ascii="Times New Roman" w:hAnsi="Times New Roman"/>
          <w:color w:val="000000"/>
        </w:rPr>
        <w:t>izvještaja o izvršenju proračuna</w:t>
      </w:r>
      <w:r>
        <w:rPr>
          <w:rFonts w:ascii="Times New Roman" w:hAnsi="Times New Roman"/>
          <w:color w:val="000000"/>
        </w:rPr>
        <w:t xml:space="preserve"> za razdoblje 1.1. do 30.6.202</w:t>
      </w:r>
      <w:r w:rsidR="009A442C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 g.</w:t>
      </w:r>
      <w:r w:rsidRPr="00E34CB1">
        <w:rPr>
          <w:rFonts w:ascii="Times New Roman" w:hAnsi="Times New Roman"/>
          <w:color w:val="000000"/>
        </w:rPr>
        <w:t xml:space="preserve"> </w:t>
      </w:r>
      <w:r w:rsidR="00910B30"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</w:rPr>
        <w:t xml:space="preserve"> obrazloženjem </w:t>
      </w:r>
      <w:r w:rsidRPr="00E34CB1">
        <w:rPr>
          <w:rFonts w:ascii="Times New Roman" w:hAnsi="Times New Roman"/>
          <w:color w:val="000000"/>
        </w:rPr>
        <w:t xml:space="preserve">objaviti će se u </w:t>
      </w:r>
      <w:r w:rsidRPr="00526554">
        <w:rPr>
          <w:rFonts w:ascii="Times New Roman" w:eastAsia="Times New Roman" w:hAnsi="Times New Roman" w:cs="Times New Roman"/>
          <w:lang w:eastAsia="hr-HR"/>
        </w:rPr>
        <w:t xml:space="preserve">„Službenom </w:t>
      </w:r>
      <w:r>
        <w:rPr>
          <w:rFonts w:ascii="Times New Roman" w:eastAsia="Times New Roman" w:hAnsi="Times New Roman" w:cs="Times New Roman"/>
          <w:lang w:eastAsia="hr-HR"/>
        </w:rPr>
        <w:t>glasniku Općine Podravska Moslavina“ i na mrežnoj stranici Općine Podravska Moslavina.</w:t>
      </w:r>
    </w:p>
    <w:p w:rsidR="00955116" w:rsidRDefault="00955116" w:rsidP="00955116">
      <w:pPr>
        <w:ind w:left="-567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1B73BA" w:rsidRPr="003C5C82" w:rsidRDefault="001B73BA" w:rsidP="001B73BA">
      <w:pPr>
        <w:spacing w:after="140"/>
        <w:jc w:val="both"/>
        <w:rPr>
          <w:rFonts w:ascii="Times New Roman" w:hAnsi="Times New Roman" w:cs="Times New Roman"/>
        </w:rPr>
      </w:pP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</w:p>
    <w:p w:rsidR="001B73BA" w:rsidRPr="00237045" w:rsidRDefault="001B73BA" w:rsidP="0019643E">
      <w:pPr>
        <w:pStyle w:val="Bezproreda"/>
        <w:rPr>
          <w:rFonts w:hint="eastAsia"/>
        </w:rPr>
      </w:pPr>
      <w:r w:rsidRPr="00237045">
        <w:tab/>
      </w:r>
      <w:r w:rsidRPr="00237045">
        <w:tab/>
      </w:r>
      <w:r w:rsidRPr="00237045">
        <w:tab/>
      </w:r>
      <w:r w:rsidRPr="00237045">
        <w:tab/>
      </w:r>
      <w:r w:rsidRPr="00237045">
        <w:tab/>
      </w:r>
      <w:r w:rsidRPr="00237045">
        <w:tab/>
        <w:t xml:space="preserve">         PREDSJEDNIK OPĆINSKOG VIJEĆA</w:t>
      </w:r>
    </w:p>
    <w:p w:rsidR="001B73BA" w:rsidRPr="00237045" w:rsidRDefault="001B73BA" w:rsidP="0019643E">
      <w:pPr>
        <w:pStyle w:val="Bezproreda"/>
        <w:rPr>
          <w:rFonts w:hint="eastAsia"/>
          <w:lang w:val="sv-SE"/>
        </w:rPr>
      </w:pPr>
      <w:r w:rsidRPr="00237045">
        <w:tab/>
      </w:r>
      <w:r w:rsidRPr="00237045">
        <w:tab/>
      </w:r>
      <w:r w:rsidRPr="00237045">
        <w:tab/>
      </w:r>
      <w:r w:rsidRPr="00237045">
        <w:tab/>
      </w:r>
      <w:r w:rsidRPr="00237045">
        <w:tab/>
      </w:r>
      <w:r w:rsidRPr="00237045">
        <w:tab/>
      </w:r>
      <w:r w:rsidRPr="00237045">
        <w:tab/>
      </w:r>
      <w:r w:rsidR="0094097E">
        <w:t xml:space="preserve">            </w:t>
      </w:r>
      <w:r>
        <w:rPr>
          <w:color w:val="000000"/>
        </w:rPr>
        <w:t>Slavko Kupanovac</w:t>
      </w:r>
    </w:p>
    <w:p w:rsidR="0094097E" w:rsidRDefault="0094097E" w:rsidP="001B73BA">
      <w:pPr>
        <w:rPr>
          <w:rFonts w:ascii="Times New Roman" w:hAnsi="Times New Roman" w:cs="Times New Roman"/>
          <w:lang w:val="sv-SE"/>
        </w:rPr>
      </w:pPr>
    </w:p>
    <w:p w:rsidR="0094097E" w:rsidRDefault="0094097E" w:rsidP="001B73BA">
      <w:pPr>
        <w:rPr>
          <w:rFonts w:ascii="Times New Roman" w:hAnsi="Times New Roman" w:cs="Times New Roman"/>
          <w:lang w:val="sv-SE"/>
        </w:rPr>
      </w:pPr>
    </w:p>
    <w:bookmarkEnd w:id="0"/>
    <w:p w:rsidR="001B73BA" w:rsidRPr="00237045" w:rsidRDefault="001B73BA" w:rsidP="001B73BA">
      <w:pPr>
        <w:spacing w:after="140"/>
        <w:jc w:val="both"/>
        <w:rPr>
          <w:rFonts w:ascii="Times New Roman" w:hAnsi="Times New Roman" w:cs="Times New Roman"/>
        </w:rPr>
      </w:pPr>
    </w:p>
    <w:p w:rsidR="00CA42CF" w:rsidRDefault="00CA42CF">
      <w:pPr>
        <w:rPr>
          <w:rFonts w:hint="eastAsia"/>
        </w:rPr>
      </w:pPr>
    </w:p>
    <w:sectPr w:rsidR="00CA42CF" w:rsidSect="0050644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175"/>
    <w:multiLevelType w:val="hybridMultilevel"/>
    <w:tmpl w:val="E610A2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943"/>
    <w:multiLevelType w:val="hybridMultilevel"/>
    <w:tmpl w:val="E48C52FE"/>
    <w:lvl w:ilvl="0" w:tplc="369A3E1A">
      <w:start w:val="2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0769C"/>
    <w:multiLevelType w:val="hybridMultilevel"/>
    <w:tmpl w:val="3226378C"/>
    <w:lvl w:ilvl="0" w:tplc="4ED6CF48">
      <w:start w:val="1"/>
      <w:numFmt w:val="upperRoman"/>
      <w:lvlText w:val="%1."/>
      <w:lvlJc w:val="left"/>
      <w:pPr>
        <w:ind w:left="1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09B0FCA"/>
    <w:multiLevelType w:val="hybridMultilevel"/>
    <w:tmpl w:val="E610A2BE"/>
    <w:lvl w:ilvl="0" w:tplc="D9C85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6FE4"/>
    <w:multiLevelType w:val="hybridMultilevel"/>
    <w:tmpl w:val="A6466988"/>
    <w:lvl w:ilvl="0" w:tplc="98E4C8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847E0"/>
    <w:multiLevelType w:val="hybridMultilevel"/>
    <w:tmpl w:val="31DAC69A"/>
    <w:lvl w:ilvl="0" w:tplc="20AA9F2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C6E4E"/>
    <w:multiLevelType w:val="hybridMultilevel"/>
    <w:tmpl w:val="273CB536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443D3"/>
    <w:multiLevelType w:val="hybridMultilevel"/>
    <w:tmpl w:val="AF68D122"/>
    <w:lvl w:ilvl="0" w:tplc="6E82E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1B73BA"/>
    <w:rsid w:val="000742C0"/>
    <w:rsid w:val="001411E8"/>
    <w:rsid w:val="00185F55"/>
    <w:rsid w:val="00192438"/>
    <w:rsid w:val="0019643E"/>
    <w:rsid w:val="001B6057"/>
    <w:rsid w:val="001B73BA"/>
    <w:rsid w:val="001E3C53"/>
    <w:rsid w:val="00200A8D"/>
    <w:rsid w:val="00226961"/>
    <w:rsid w:val="002708B2"/>
    <w:rsid w:val="0027414A"/>
    <w:rsid w:val="002C4FB3"/>
    <w:rsid w:val="002E1464"/>
    <w:rsid w:val="00335EC4"/>
    <w:rsid w:val="003D2DC1"/>
    <w:rsid w:val="00420C6D"/>
    <w:rsid w:val="0049257F"/>
    <w:rsid w:val="004C4803"/>
    <w:rsid w:val="004F4C1E"/>
    <w:rsid w:val="00506448"/>
    <w:rsid w:val="00526AE0"/>
    <w:rsid w:val="005A318F"/>
    <w:rsid w:val="0061613A"/>
    <w:rsid w:val="006D1FDD"/>
    <w:rsid w:val="006E289C"/>
    <w:rsid w:val="007C32EB"/>
    <w:rsid w:val="00856EDC"/>
    <w:rsid w:val="00900714"/>
    <w:rsid w:val="00910B30"/>
    <w:rsid w:val="0094097E"/>
    <w:rsid w:val="00955116"/>
    <w:rsid w:val="00986D84"/>
    <w:rsid w:val="009A442C"/>
    <w:rsid w:val="00A16EA0"/>
    <w:rsid w:val="00BB2CCE"/>
    <w:rsid w:val="00C138F9"/>
    <w:rsid w:val="00C97673"/>
    <w:rsid w:val="00CA42CF"/>
    <w:rsid w:val="00CA7727"/>
    <w:rsid w:val="00CC613A"/>
    <w:rsid w:val="00CD4B95"/>
    <w:rsid w:val="00D43A64"/>
    <w:rsid w:val="00DF55DD"/>
    <w:rsid w:val="00E85E41"/>
    <w:rsid w:val="00EF4F83"/>
    <w:rsid w:val="00F06167"/>
    <w:rsid w:val="00F336B1"/>
    <w:rsid w:val="00FD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B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B73BA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rsid w:val="001B73BA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Bezproreda">
    <w:name w:val="No Spacing"/>
    <w:uiPriority w:val="1"/>
    <w:qFormat/>
    <w:rsid w:val="00C976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Odlomakpopisa">
    <w:name w:val="List Paragraph"/>
    <w:basedOn w:val="Normal"/>
    <w:uiPriority w:val="34"/>
    <w:qFormat/>
    <w:rsid w:val="00C97673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23</Pages>
  <Words>7201</Words>
  <Characters>41050</Characters>
  <Application>Microsoft Office Word</Application>
  <DocSecurity>0</DocSecurity>
  <Lines>342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Slavica</cp:lastModifiedBy>
  <cp:revision>10</cp:revision>
  <cp:lastPrinted>2024-08-20T06:14:00Z</cp:lastPrinted>
  <dcterms:created xsi:type="dcterms:W3CDTF">2023-09-15T05:01:00Z</dcterms:created>
  <dcterms:modified xsi:type="dcterms:W3CDTF">2024-08-20T06:15:00Z</dcterms:modified>
</cp:coreProperties>
</file>